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7C0E2" w14:textId="77777777" w:rsidR="007B538B" w:rsidRDefault="007B538B" w:rsidP="00512986">
      <w:pPr>
        <w:jc w:val="both"/>
        <w:rPr>
          <w:rFonts w:ascii="Arial" w:hAnsi="Arial" w:cs="Arial"/>
        </w:rPr>
      </w:pPr>
    </w:p>
    <w:p w14:paraId="40CF4D4F" w14:textId="50CC3DEF" w:rsidR="00512986" w:rsidRPr="007B538B" w:rsidRDefault="0099663C" w:rsidP="00512986">
      <w:pPr>
        <w:jc w:val="both"/>
        <w:rPr>
          <w:rFonts w:ascii="Arial" w:hAnsi="Arial" w:cs="Arial"/>
        </w:rPr>
      </w:pPr>
      <w:r w:rsidRPr="007B538B">
        <w:rPr>
          <w:rFonts w:ascii="Arial" w:hAnsi="Arial" w:cs="Arial"/>
        </w:rPr>
        <w:t xml:space="preserve">Le document technique regroupe </w:t>
      </w:r>
      <w:r w:rsidR="00512986" w:rsidRPr="007B538B">
        <w:rPr>
          <w:rFonts w:ascii="Arial" w:hAnsi="Arial" w:cs="Arial"/>
        </w:rPr>
        <w:t xml:space="preserve">un ensemble de données répertoriées selon la table des matières décrite ci-dessous (Parties de A à </w:t>
      </w:r>
      <w:r w:rsidR="00BB33FF">
        <w:rPr>
          <w:rFonts w:ascii="Arial" w:hAnsi="Arial" w:cs="Arial"/>
        </w:rPr>
        <w:t>F</w:t>
      </w:r>
      <w:r w:rsidR="00512986" w:rsidRPr="007B538B">
        <w:rPr>
          <w:rFonts w:ascii="Arial" w:hAnsi="Arial" w:cs="Arial"/>
        </w:rPr>
        <w:t>). Les informations communiquées doivent être présentées de manière claire, organisée et non ambiguë. Seules les informations écrites en français seront prises en compte.</w:t>
      </w:r>
    </w:p>
    <w:p w14:paraId="6BD593CF" w14:textId="59716EF6" w:rsidR="0099663C" w:rsidRPr="007B538B" w:rsidRDefault="0099663C" w:rsidP="001B364F">
      <w:pPr>
        <w:jc w:val="both"/>
        <w:rPr>
          <w:rFonts w:ascii="Arial" w:hAnsi="Arial" w:cs="Arial"/>
        </w:rPr>
      </w:pPr>
      <w:r w:rsidRPr="007B538B">
        <w:rPr>
          <w:rFonts w:ascii="Arial" w:hAnsi="Arial" w:cs="Arial"/>
        </w:rPr>
        <w:t xml:space="preserve">Aucun autre document ne sera pris en compte pour l’évaluation de l’offre s’il n’est pas intégré au dossier et ne respecte pas le cadre de </w:t>
      </w:r>
      <w:r w:rsidR="00825CB0" w:rsidRPr="007B538B">
        <w:rPr>
          <w:rFonts w:ascii="Arial" w:hAnsi="Arial" w:cs="Arial"/>
        </w:rPr>
        <w:t>nomma</w:t>
      </w:r>
      <w:r w:rsidR="00825CB0">
        <w:rPr>
          <w:rFonts w:ascii="Arial" w:hAnsi="Arial" w:cs="Arial"/>
        </w:rPr>
        <w:t>ge</w:t>
      </w:r>
      <w:r w:rsidR="00825CB0" w:rsidRPr="007B538B">
        <w:rPr>
          <w:rFonts w:ascii="Arial" w:hAnsi="Arial" w:cs="Arial"/>
        </w:rPr>
        <w:t xml:space="preserve"> </w:t>
      </w:r>
      <w:r w:rsidRPr="007B538B">
        <w:rPr>
          <w:rFonts w:ascii="Arial" w:hAnsi="Arial" w:cs="Arial"/>
        </w:rPr>
        <w:t>demandé.</w:t>
      </w:r>
    </w:p>
    <w:p w14:paraId="7B944A4E" w14:textId="715294BD" w:rsidR="00512986" w:rsidRDefault="00512986" w:rsidP="001B364F">
      <w:pPr>
        <w:jc w:val="both"/>
        <w:rPr>
          <w:rFonts w:ascii="Arial" w:hAnsi="Arial" w:cs="Arial"/>
        </w:rPr>
      </w:pPr>
      <w:r w:rsidRPr="007B538B">
        <w:rPr>
          <w:rFonts w:ascii="Arial" w:hAnsi="Arial" w:cs="Arial"/>
        </w:rPr>
        <w:t>Les informations seront transmises via des fichiers</w:t>
      </w:r>
      <w:r w:rsidR="0099663C" w:rsidRPr="007B538B">
        <w:rPr>
          <w:rFonts w:ascii="Arial" w:hAnsi="Arial" w:cs="Arial"/>
        </w:rPr>
        <w:t xml:space="preserve"> </w:t>
      </w:r>
      <w:r w:rsidR="00676554" w:rsidRPr="007B538B">
        <w:rPr>
          <w:rFonts w:ascii="Arial" w:hAnsi="Arial" w:cs="Arial"/>
        </w:rPr>
        <w:t>séparés</w:t>
      </w:r>
      <w:r w:rsidR="0099663C" w:rsidRPr="007B538B">
        <w:rPr>
          <w:rFonts w:ascii="Arial" w:hAnsi="Arial" w:cs="Arial"/>
        </w:rPr>
        <w:t xml:space="preserve"> </w:t>
      </w:r>
      <w:r w:rsidRPr="007B538B">
        <w:rPr>
          <w:rFonts w:ascii="Arial" w:hAnsi="Arial" w:cs="Arial"/>
        </w:rPr>
        <w:t>au format pdf regroupés dans un dossier nommé :</w:t>
      </w:r>
    </w:p>
    <w:p w14:paraId="02F397F0" w14:textId="27702F15" w:rsidR="00CC1362" w:rsidRPr="009C5C22" w:rsidRDefault="009C5C22" w:rsidP="001B36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AO2025-</w:t>
      </w:r>
      <w:r w:rsidR="00BD278C">
        <w:rPr>
          <w:rFonts w:ascii="Arial" w:hAnsi="Arial" w:cs="Arial"/>
        </w:rPr>
        <w:t>41</w:t>
      </w:r>
      <w:r>
        <w:rPr>
          <w:rFonts w:ascii="Arial" w:hAnsi="Arial" w:cs="Arial"/>
        </w:rPr>
        <w:t>_YYY</w:t>
      </w:r>
      <w:r w:rsidR="00BD278C">
        <w:rPr>
          <w:rFonts w:ascii="Arial" w:hAnsi="Arial" w:cs="Arial"/>
        </w:rPr>
        <w:t>_ZZZ</w:t>
      </w:r>
    </w:p>
    <w:p w14:paraId="0509253B" w14:textId="77777777" w:rsidR="00512986" w:rsidRPr="007B538B" w:rsidRDefault="0099663C" w:rsidP="001B364F">
      <w:pPr>
        <w:jc w:val="both"/>
        <w:rPr>
          <w:rFonts w:ascii="Arial" w:hAnsi="Arial" w:cs="Arial"/>
        </w:rPr>
      </w:pPr>
      <w:r w:rsidRPr="007B538B">
        <w:rPr>
          <w:rFonts w:ascii="Arial" w:hAnsi="Arial" w:cs="Arial"/>
        </w:rPr>
        <w:t xml:space="preserve">YYY doit être remplacé par le nom du candidat </w:t>
      </w:r>
      <w:r w:rsidR="00512986" w:rsidRPr="007B538B">
        <w:rPr>
          <w:rFonts w:ascii="Arial" w:hAnsi="Arial" w:cs="Arial"/>
        </w:rPr>
        <w:t>(sans excéde</w:t>
      </w:r>
      <w:r w:rsidRPr="007B538B">
        <w:rPr>
          <w:rFonts w:ascii="Arial" w:hAnsi="Arial" w:cs="Arial"/>
        </w:rPr>
        <w:t>r 1</w:t>
      </w:r>
      <w:r w:rsidR="00512986" w:rsidRPr="007B538B">
        <w:rPr>
          <w:rFonts w:ascii="Arial" w:hAnsi="Arial" w:cs="Arial"/>
        </w:rPr>
        <w:t>0 caractères)</w:t>
      </w:r>
      <w:r w:rsidR="00CC1362" w:rsidRPr="007B538B">
        <w:rPr>
          <w:rFonts w:ascii="Arial" w:hAnsi="Arial" w:cs="Arial"/>
        </w:rPr>
        <w:t>.</w:t>
      </w:r>
    </w:p>
    <w:p w14:paraId="4AE5F7CA" w14:textId="77777777" w:rsidR="00CC1362" w:rsidRPr="007B538B" w:rsidRDefault="00CC1362" w:rsidP="001B364F">
      <w:pPr>
        <w:jc w:val="both"/>
        <w:rPr>
          <w:rFonts w:ascii="Arial" w:hAnsi="Arial" w:cs="Arial"/>
        </w:rPr>
      </w:pPr>
      <w:r w:rsidRPr="007B538B">
        <w:rPr>
          <w:rFonts w:ascii="Arial" w:hAnsi="Arial" w:cs="Arial"/>
        </w:rPr>
        <w:t xml:space="preserve">Les </w:t>
      </w:r>
      <w:r w:rsidR="00676554" w:rsidRPr="007B538B">
        <w:rPr>
          <w:rFonts w:ascii="Arial" w:hAnsi="Arial" w:cs="Arial"/>
        </w:rPr>
        <w:t xml:space="preserve">fichiers </w:t>
      </w:r>
      <w:r w:rsidRPr="007B538B">
        <w:rPr>
          <w:rFonts w:ascii="Arial" w:hAnsi="Arial" w:cs="Arial"/>
        </w:rPr>
        <w:t xml:space="preserve">intégrés dans le dossier </w:t>
      </w:r>
      <w:r w:rsidR="00676554" w:rsidRPr="007B538B">
        <w:rPr>
          <w:rFonts w:ascii="Arial" w:hAnsi="Arial" w:cs="Arial"/>
        </w:rPr>
        <w:t xml:space="preserve">MEMOIRE_TECHNIQUE </w:t>
      </w:r>
      <w:r w:rsidRPr="007B538B">
        <w:rPr>
          <w:rFonts w:ascii="Arial" w:hAnsi="Arial" w:cs="Arial"/>
        </w:rPr>
        <w:t xml:space="preserve">devront </w:t>
      </w:r>
      <w:r w:rsidR="00676554" w:rsidRPr="007B538B">
        <w:rPr>
          <w:rFonts w:ascii="Arial" w:hAnsi="Arial" w:cs="Arial"/>
        </w:rPr>
        <w:t>être nommés strictement en reprenant la numérotation de la table des matières</w:t>
      </w:r>
    </w:p>
    <w:p w14:paraId="735FD26D" w14:textId="77777777" w:rsidR="00CC1362" w:rsidRPr="007B538B" w:rsidRDefault="00CC1362" w:rsidP="001B364F">
      <w:pPr>
        <w:jc w:val="both"/>
        <w:rPr>
          <w:rFonts w:ascii="Arial" w:hAnsi="Arial" w:cs="Arial"/>
        </w:rPr>
      </w:pPr>
      <w:r w:rsidRPr="007B538B">
        <w:rPr>
          <w:rFonts w:ascii="Arial" w:hAnsi="Arial" w:cs="Arial"/>
        </w:rPr>
        <w:t>ZZZ doit être remplacé par le code de la partie du dossier technique décrit ci-dessous (par ex. "A</w:t>
      </w:r>
      <w:r w:rsidR="00676554" w:rsidRPr="007B538B">
        <w:rPr>
          <w:rFonts w:ascii="Arial" w:hAnsi="Arial" w:cs="Arial"/>
        </w:rPr>
        <w:t>04</w:t>
      </w:r>
      <w:r w:rsidRPr="007B538B">
        <w:rPr>
          <w:rFonts w:ascii="Arial" w:hAnsi="Arial" w:cs="Arial"/>
        </w:rPr>
        <w:t>"</w:t>
      </w:r>
      <w:r w:rsidR="00676554" w:rsidRPr="007B538B">
        <w:rPr>
          <w:rFonts w:ascii="Arial" w:hAnsi="Arial" w:cs="Arial"/>
        </w:rPr>
        <w:t xml:space="preserve"> Valeurs de l’entreprise</w:t>
      </w:r>
      <w:r w:rsidRPr="007B538B">
        <w:rPr>
          <w:rFonts w:ascii="Arial" w:hAnsi="Arial" w:cs="Arial"/>
        </w:rPr>
        <w:t>)</w:t>
      </w:r>
    </w:p>
    <w:p w14:paraId="511EF426" w14:textId="126C5098" w:rsidR="00512986" w:rsidRPr="007B538B" w:rsidRDefault="00954D6E" w:rsidP="001B36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Exemple : </w:t>
      </w:r>
      <w:r w:rsidR="00676554" w:rsidRPr="007B538B">
        <w:rPr>
          <w:rFonts w:ascii="Arial" w:hAnsi="Arial" w:cs="Arial"/>
        </w:rPr>
        <w:t>Pour le</w:t>
      </w:r>
      <w:r>
        <w:rPr>
          <w:rFonts w:ascii="Arial" w:hAnsi="Arial" w:cs="Arial"/>
        </w:rPr>
        <w:t xml:space="preserve"> candidat portant le nom de MARTIN</w:t>
      </w:r>
      <w:r w:rsidR="00BD278C">
        <w:rPr>
          <w:rFonts w:ascii="Arial" w:hAnsi="Arial" w:cs="Arial"/>
        </w:rPr>
        <w:t xml:space="preserve">, </w:t>
      </w:r>
      <w:r w:rsidR="00676554" w:rsidRPr="007B538B">
        <w:rPr>
          <w:rFonts w:ascii="Arial" w:hAnsi="Arial" w:cs="Arial"/>
        </w:rPr>
        <w:t xml:space="preserve">le </w:t>
      </w:r>
      <w:r w:rsidR="00825CB0" w:rsidRPr="007B538B">
        <w:rPr>
          <w:rFonts w:ascii="Arial" w:hAnsi="Arial" w:cs="Arial"/>
        </w:rPr>
        <w:t>nomma</w:t>
      </w:r>
      <w:r w:rsidR="00825CB0">
        <w:rPr>
          <w:rFonts w:ascii="Arial" w:hAnsi="Arial" w:cs="Arial"/>
        </w:rPr>
        <w:t>ge</w:t>
      </w:r>
      <w:r w:rsidR="00825CB0" w:rsidRPr="007B538B">
        <w:rPr>
          <w:rFonts w:ascii="Arial" w:hAnsi="Arial" w:cs="Arial"/>
        </w:rPr>
        <w:t xml:space="preserve"> </w:t>
      </w:r>
      <w:r w:rsidR="00676554" w:rsidRPr="007B538B">
        <w:rPr>
          <w:rFonts w:ascii="Arial" w:hAnsi="Arial" w:cs="Arial"/>
        </w:rPr>
        <w:t>du fichier serait la suivante :</w:t>
      </w:r>
    </w:p>
    <w:p w14:paraId="50666613" w14:textId="57982318" w:rsidR="00BD278C" w:rsidRPr="009C5C22" w:rsidRDefault="00954D6E" w:rsidP="001B36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AO2025-41_MARTIN</w:t>
      </w:r>
      <w:r w:rsidR="00BD278C">
        <w:rPr>
          <w:rFonts w:ascii="Arial" w:hAnsi="Arial" w:cs="Arial"/>
        </w:rPr>
        <w:t>_A04</w:t>
      </w:r>
    </w:p>
    <w:p w14:paraId="4937BBA3" w14:textId="77777777" w:rsidR="007B538B" w:rsidRDefault="007B538B"/>
    <w:p w14:paraId="7A2649E8" w14:textId="77777777" w:rsidR="007B538B" w:rsidRDefault="007B538B"/>
    <w:p w14:paraId="29EE467D" w14:textId="1F69726D" w:rsidR="00D93FCC" w:rsidRDefault="00D93FCC">
      <w:r>
        <w:br w:type="page"/>
      </w:r>
    </w:p>
    <w:p w14:paraId="2B578F19" w14:textId="77777777" w:rsidR="007B538B" w:rsidRDefault="007B538B"/>
    <w:tbl>
      <w:tblPr>
        <w:tblW w:w="12753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5"/>
        <w:gridCol w:w="9206"/>
        <w:gridCol w:w="2232"/>
      </w:tblGrid>
      <w:tr w:rsidR="004A30C3" w:rsidRPr="00A61D81" w14:paraId="1CCB6CCE" w14:textId="77777777" w:rsidTr="007F467D">
        <w:trPr>
          <w:trHeight w:val="271"/>
        </w:trPr>
        <w:tc>
          <w:tcPr>
            <w:tcW w:w="12753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32B31F7A" w14:textId="77777777" w:rsidR="004A30C3" w:rsidRPr="004A2AE6" w:rsidRDefault="004A30C3" w:rsidP="004A2AE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7F467D" w:rsidRPr="00A61D81" w14:paraId="6A613215" w14:textId="77777777" w:rsidTr="004A2AE6">
        <w:trPr>
          <w:trHeight w:val="545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9DA60" w14:textId="77777777" w:rsidR="007F467D" w:rsidRPr="004A2AE6" w:rsidRDefault="007F467D" w:rsidP="00C104C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6FEA" w14:textId="77777777" w:rsidR="007F467D" w:rsidRPr="004A2AE6" w:rsidRDefault="009C1C2D" w:rsidP="00C104CC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N</w:t>
            </w:r>
            <w:r w:rsidR="002F403D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umérotation et informations/pièces (ex : calendrier, plan, procédure) à fournir</w:t>
            </w:r>
          </w:p>
        </w:tc>
      </w:tr>
      <w:tr w:rsidR="00615EE4" w:rsidRPr="00A61D81" w14:paraId="678F606B" w14:textId="77777777" w:rsidTr="007F467D">
        <w:trPr>
          <w:trHeight w:val="420"/>
        </w:trPr>
        <w:tc>
          <w:tcPr>
            <w:tcW w:w="1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  <w:hideMark/>
          </w:tcPr>
          <w:p w14:paraId="2DCB33CF" w14:textId="79F99D97" w:rsidR="003246D6" w:rsidRPr="004A2AE6" w:rsidRDefault="000073E4" w:rsidP="000E08D2">
            <w:pPr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>A</w:t>
            </w:r>
            <w:r w:rsidR="00285D65" w:rsidRPr="004A2AE6"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 xml:space="preserve">/ </w:t>
            </w:r>
            <w:r w:rsidR="0091593C" w:rsidRPr="004A2AE6"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>ENTREPRISE</w:t>
            </w:r>
            <w:r w:rsidR="00DF3C36" w:rsidRPr="004A2AE6"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 xml:space="preserve"> </w:t>
            </w:r>
            <w:r w:rsidR="00927A51"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>(S)</w:t>
            </w:r>
          </w:p>
        </w:tc>
      </w:tr>
      <w:tr w:rsidR="007F467D" w:rsidRPr="00A61D81" w14:paraId="239F9F67" w14:textId="77777777" w:rsidTr="007F301A">
        <w:trPr>
          <w:trHeight w:val="703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C902" w14:textId="77777777" w:rsidR="007F467D" w:rsidRPr="004A2AE6" w:rsidRDefault="009C1C2D" w:rsidP="003246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Entreprise au global</w:t>
            </w:r>
          </w:p>
        </w:tc>
        <w:tc>
          <w:tcPr>
            <w:tcW w:w="9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606EE" w14:textId="2771C049" w:rsidR="007F467D" w:rsidRPr="004A2AE6" w:rsidRDefault="009C1C2D" w:rsidP="003246D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A01</w:t>
            </w:r>
            <w:r w:rsidR="007F467D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Histoire : création, évolution des activités </w:t>
            </w:r>
          </w:p>
          <w:p w14:paraId="7E948A96" w14:textId="3BF679D5" w:rsidR="007F467D" w:rsidRPr="004A2AE6" w:rsidRDefault="009C1C2D" w:rsidP="003246D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A02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="000E08D2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Catalogue produit</w:t>
            </w:r>
          </w:p>
          <w:p w14:paraId="2395A12F" w14:textId="77777777" w:rsidR="009C1C2D" w:rsidRPr="004A2AE6" w:rsidRDefault="009C1C2D" w:rsidP="003246D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A03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="007F467D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Organigramme du groupe</w:t>
            </w:r>
          </w:p>
          <w:p w14:paraId="744CCB93" w14:textId="77777777" w:rsidR="000E08D2" w:rsidRPr="004A2AE6" w:rsidRDefault="009C1C2D" w:rsidP="003246D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A</w:t>
            </w:r>
            <w:r w:rsidR="007B538B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04</w:t>
            </w:r>
            <w:r w:rsidR="007B538B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Les</w:t>
            </w:r>
            <w:r w:rsidR="007F467D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valeurs de l’entreprise</w:t>
            </w:r>
          </w:p>
          <w:p w14:paraId="5C9E4B39" w14:textId="358C9130" w:rsidR="007F301A" w:rsidRPr="004A2AE6" w:rsidRDefault="005558BC" w:rsidP="004A2AE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A05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Expérience dans le domaine objet de l’appel d’offres</w:t>
            </w:r>
          </w:p>
          <w:p w14:paraId="3806AC50" w14:textId="77777777" w:rsidR="00990560" w:rsidRDefault="00B8515A" w:rsidP="004A2AE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A06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 Fiche renseignement fournisseur renseignée selon modèle </w:t>
            </w:r>
            <w:r w:rsidR="003D6623">
              <w:rPr>
                <w:rFonts w:eastAsia="Times New Roman" w:cstheme="minorHAnsi"/>
                <w:sz w:val="20"/>
                <w:szCs w:val="20"/>
                <w:lang w:eastAsia="fr-FR"/>
              </w:rPr>
              <w:t>(a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nnexe 2 du </w:t>
            </w:r>
            <w:r w:rsidR="00927A51">
              <w:rPr>
                <w:rFonts w:eastAsia="Times New Roman" w:cstheme="minorHAnsi"/>
                <w:sz w:val="20"/>
                <w:szCs w:val="20"/>
                <w:lang w:eastAsia="fr-FR"/>
              </w:rPr>
              <w:t>CCTP</w:t>
            </w:r>
            <w:r w:rsidR="003D6623">
              <w:rPr>
                <w:rFonts w:eastAsia="Times New Roman" w:cstheme="minorHAnsi"/>
                <w:sz w:val="20"/>
                <w:szCs w:val="20"/>
                <w:lang w:eastAsia="fr-FR"/>
              </w:rPr>
              <w:t>)</w:t>
            </w:r>
          </w:p>
          <w:p w14:paraId="3E5546A4" w14:textId="79AA066E" w:rsidR="00927A51" w:rsidRPr="00927A51" w:rsidRDefault="00927A51" w:rsidP="004A2AE6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927A51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 xml:space="preserve">A07 </w:t>
            </w:r>
            <w:r w:rsidRPr="00927A51">
              <w:rPr>
                <w:rFonts w:eastAsia="Times New Roman" w:cstheme="minorHAnsi"/>
                <w:sz w:val="20"/>
                <w:szCs w:val="20"/>
                <w:lang w:eastAsia="fr-FR"/>
              </w:rPr>
              <w:t>Engagement(s) démarche RSE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CEC1" w14:textId="27777E2E" w:rsidR="003835E7" w:rsidRPr="004A2AE6" w:rsidRDefault="005558BC" w:rsidP="00927A51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i/>
                <w:iCs/>
                <w:sz w:val="20"/>
                <w:szCs w:val="20"/>
                <w:lang w:eastAsia="fr-FR"/>
              </w:rPr>
              <w:t xml:space="preserve">Non noté mais demandé </w:t>
            </w:r>
          </w:p>
        </w:tc>
      </w:tr>
      <w:tr w:rsidR="000E08D2" w:rsidRPr="00A61D81" w14:paraId="4FB6039C" w14:textId="77777777" w:rsidTr="007F301A">
        <w:trPr>
          <w:trHeight w:val="703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3EA34" w14:textId="6316BECE" w:rsidR="000E08D2" w:rsidRPr="004A2AE6" w:rsidRDefault="000E08D2" w:rsidP="003246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Entreprise et le marché</w:t>
            </w:r>
          </w:p>
        </w:tc>
        <w:tc>
          <w:tcPr>
            <w:tcW w:w="9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902E" w14:textId="2677D36A" w:rsidR="000E08D2" w:rsidRPr="004A2AE6" w:rsidRDefault="0006315A" w:rsidP="003246D6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A0</w:t>
            </w:r>
            <w:r w:rsidR="00927A51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8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bookmarkStart w:id="0" w:name="_Hlk201320016"/>
            <w:r w:rsidRPr="004A2AE6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Autorisation d’ouverture et certificat de conformité </w:t>
            </w:r>
            <w:r w:rsidR="009846A1" w:rsidRPr="004A2AE6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aux </w:t>
            </w:r>
            <w:r w:rsidR="009846A1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Bonnes Pratiques de Fabrication (BPF) </w:t>
            </w:r>
            <w:r w:rsidR="00C9106E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et/</w:t>
            </w:r>
            <w:r w:rsidR="009846A1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ou </w:t>
            </w:r>
            <w:r w:rsidRPr="004A2AE6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aux </w:t>
            </w:r>
            <w:r w:rsidR="00EF69BB" w:rsidRPr="004A2AE6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B</w:t>
            </w:r>
            <w:r w:rsidRPr="004A2AE6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onnes </w:t>
            </w:r>
            <w:r w:rsidR="00EF69BB" w:rsidRPr="004A2AE6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P</w:t>
            </w:r>
            <w:r w:rsidRPr="004A2AE6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ratiques de </w:t>
            </w:r>
            <w:r w:rsidR="00EF69BB" w:rsidRPr="004A2AE6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D</w:t>
            </w:r>
            <w:r w:rsidRPr="004A2AE6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istribution en </w:t>
            </w:r>
            <w:r w:rsidR="00EF69BB" w:rsidRPr="004A2AE6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G</w:t>
            </w:r>
            <w:r w:rsidRPr="004A2AE6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ros</w:t>
            </w:r>
            <w:r w:rsidR="00EF69BB" w:rsidRPr="004A2AE6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(BPDG)</w:t>
            </w:r>
            <w:r w:rsidRPr="004A2AE6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du candidat</w:t>
            </w:r>
            <w:bookmarkEnd w:id="0"/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EC88" w14:textId="4FCCF527" w:rsidR="000E08D2" w:rsidRPr="004A2AE6" w:rsidRDefault="00C41F42" w:rsidP="00927A51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i/>
                <w:iCs/>
                <w:sz w:val="20"/>
                <w:szCs w:val="20"/>
                <w:lang w:eastAsia="fr-FR"/>
              </w:rPr>
              <w:t xml:space="preserve">Non noté mais demandé </w:t>
            </w:r>
            <w:r w:rsidR="005C654A">
              <w:rPr>
                <w:rFonts w:eastAsia="Times New Roman" w:cstheme="minorHAnsi"/>
                <w:i/>
                <w:iCs/>
                <w:sz w:val="20"/>
                <w:szCs w:val="20"/>
                <w:lang w:eastAsia="fr-FR"/>
              </w:rPr>
              <w:t>au titre de la candidature</w:t>
            </w:r>
          </w:p>
        </w:tc>
      </w:tr>
      <w:tr w:rsidR="00162A04" w:rsidRPr="00A61D81" w14:paraId="61315727" w14:textId="77777777" w:rsidTr="007F301A">
        <w:trPr>
          <w:trHeight w:val="703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B3E7F" w14:textId="15848854" w:rsidR="00162A04" w:rsidRPr="004A2AE6" w:rsidRDefault="00162A04" w:rsidP="003246D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Sites sous-traitants (stockage et distribution)</w:t>
            </w:r>
          </w:p>
        </w:tc>
        <w:tc>
          <w:tcPr>
            <w:tcW w:w="9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5998" w14:textId="17B17C4B" w:rsidR="00162A04" w:rsidRPr="004A2AE6" w:rsidRDefault="00162A04" w:rsidP="003246D6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A0</w:t>
            </w:r>
            <w:r w:rsidR="00927A51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9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4A2AE6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Autorisation d’ouverture et certificat de conformité aux 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Bonnes Pratiques de Fabrication (BPF) et/ou </w:t>
            </w:r>
            <w:r w:rsidRPr="004A2AE6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aux Bonnes Pratiques de Distribution en Gros (BPDG) du candidat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CC54" w14:textId="6378E20B" w:rsidR="00162A04" w:rsidRPr="004A2AE6" w:rsidRDefault="00927A51" w:rsidP="003835E7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i/>
                <w:iCs/>
                <w:sz w:val="20"/>
                <w:szCs w:val="20"/>
                <w:lang w:eastAsia="fr-FR"/>
              </w:rPr>
              <w:t>Non noté mais demandé</w:t>
            </w:r>
            <w:r w:rsidR="005C654A">
              <w:rPr>
                <w:rFonts w:eastAsia="Times New Roman" w:cstheme="minorHAnsi"/>
                <w:i/>
                <w:iCs/>
                <w:sz w:val="20"/>
                <w:szCs w:val="20"/>
                <w:lang w:eastAsia="fr-FR"/>
              </w:rPr>
              <w:t xml:space="preserve"> au titre de la candidature</w:t>
            </w:r>
          </w:p>
        </w:tc>
      </w:tr>
      <w:tr w:rsidR="000073E4" w:rsidRPr="00A61D81" w14:paraId="69432831" w14:textId="77777777" w:rsidTr="007F467D">
        <w:trPr>
          <w:trHeight w:val="420"/>
        </w:trPr>
        <w:tc>
          <w:tcPr>
            <w:tcW w:w="1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  <w:hideMark/>
          </w:tcPr>
          <w:p w14:paraId="028CA92F" w14:textId="1D2AB557" w:rsidR="000073E4" w:rsidRPr="004A2AE6" w:rsidRDefault="00461573" w:rsidP="000073E4">
            <w:pPr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 xml:space="preserve">B/ </w:t>
            </w:r>
            <w:r w:rsidR="000073E4" w:rsidRPr="004A2AE6"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>PERSONNEL</w:t>
            </w:r>
          </w:p>
        </w:tc>
      </w:tr>
      <w:tr w:rsidR="007F467D" w:rsidRPr="00A61D81" w14:paraId="6C8FEDFB" w14:textId="77777777" w:rsidTr="004A2AE6">
        <w:trPr>
          <w:trHeight w:val="703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E1E1" w14:textId="77777777" w:rsidR="007F467D" w:rsidRPr="004A2AE6" w:rsidRDefault="007F467D" w:rsidP="000073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9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87AE" w14:textId="563EF332" w:rsidR="00547E8F" w:rsidRPr="004A2AE6" w:rsidRDefault="00E82F06" w:rsidP="000E790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B01</w:t>
            </w:r>
            <w:r w:rsidR="007F467D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Organigramme du </w:t>
            </w:r>
            <w:r w:rsidR="00DB3B64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candidat et de chaque site impliqué dans le stockage et la distribution du produit avec</w:t>
            </w:r>
            <w:r w:rsidR="00825CB0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indication des personnels </w:t>
            </w:r>
            <w:r w:rsidR="007F467D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qui seront impliqués dans les opérations demandées dans le </w:t>
            </w:r>
            <w:r w:rsidR="00825CB0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CCTP.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EDDD" w14:textId="77777777" w:rsidR="007F467D" w:rsidRPr="004A2AE6" w:rsidRDefault="007F467D" w:rsidP="000073E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 </w:t>
            </w:r>
          </w:p>
        </w:tc>
      </w:tr>
      <w:tr w:rsidR="000073E4" w:rsidRPr="00A61D81" w14:paraId="4F76A05A" w14:textId="77777777" w:rsidTr="007F467D">
        <w:trPr>
          <w:trHeight w:val="420"/>
        </w:trPr>
        <w:tc>
          <w:tcPr>
            <w:tcW w:w="1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  <w:hideMark/>
          </w:tcPr>
          <w:p w14:paraId="68A9A6F3" w14:textId="0154DC8D" w:rsidR="000073E4" w:rsidRPr="004A2AE6" w:rsidRDefault="00C23A63" w:rsidP="00C23A63">
            <w:pPr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>C</w:t>
            </w:r>
            <w:r w:rsidR="00285D65" w:rsidRPr="004A2AE6"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 xml:space="preserve">/ </w:t>
            </w:r>
            <w:r w:rsidRPr="004A2AE6"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>SPECIALITE</w:t>
            </w:r>
            <w:r w:rsidR="00285D65" w:rsidRPr="004A2AE6"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 xml:space="preserve"> </w:t>
            </w:r>
            <w:r w:rsidRPr="004A2AE6"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>PHARMACEUTIQUE</w:t>
            </w:r>
          </w:p>
        </w:tc>
      </w:tr>
      <w:tr w:rsidR="000073E4" w:rsidRPr="00A61D81" w14:paraId="5D0C095F" w14:textId="77777777" w:rsidTr="004A2AE6">
        <w:trPr>
          <w:trHeight w:val="900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28200" w14:textId="2F9DC5B8" w:rsidR="000073E4" w:rsidRPr="004A2AE6" w:rsidRDefault="000073E4" w:rsidP="000073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861D" w14:textId="51F2DCDC" w:rsidR="00DF2639" w:rsidRPr="004A2AE6" w:rsidRDefault="001D3E98" w:rsidP="00C23A6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C01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="00C23A63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Fiche Article renseignée selon modèle </w:t>
            </w:r>
            <w:r w:rsidR="003D6623">
              <w:rPr>
                <w:rFonts w:eastAsia="Times New Roman" w:cstheme="minorHAnsi"/>
                <w:sz w:val="20"/>
                <w:szCs w:val="20"/>
                <w:lang w:eastAsia="fr-FR"/>
              </w:rPr>
              <w:t>(a</w:t>
            </w:r>
            <w:r w:rsidR="00C23A63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nnexe 1 du </w:t>
            </w:r>
            <w:r w:rsidR="00927A51">
              <w:rPr>
                <w:rFonts w:eastAsia="Times New Roman" w:cstheme="minorHAnsi"/>
                <w:sz w:val="20"/>
                <w:szCs w:val="20"/>
                <w:lang w:eastAsia="fr-FR"/>
              </w:rPr>
              <w:t>CCTP</w:t>
            </w:r>
            <w:r w:rsidR="003D6623">
              <w:rPr>
                <w:rFonts w:eastAsia="Times New Roman" w:cstheme="minorHAnsi"/>
                <w:sz w:val="20"/>
                <w:szCs w:val="20"/>
                <w:lang w:eastAsia="fr-FR"/>
              </w:rPr>
              <w:t>)</w:t>
            </w:r>
          </w:p>
          <w:p w14:paraId="4965EC36" w14:textId="235C484E" w:rsidR="00530834" w:rsidRPr="004A2AE6" w:rsidRDefault="00DF2639" w:rsidP="002120B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C</w:t>
            </w:r>
            <w:r w:rsidR="00C23A63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 xml:space="preserve">02 </w:t>
            </w:r>
            <w:r w:rsidR="00C23A63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Résumé des caractéristiques du produit</w:t>
            </w:r>
            <w:r w:rsidR="00162A04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 xml:space="preserve">, </w:t>
            </w:r>
            <w:r w:rsidR="00C41F42" w:rsidRPr="004A2AE6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notice patient</w:t>
            </w:r>
            <w:r w:rsidR="00162A04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, modalités d’utilisation</w:t>
            </w:r>
          </w:p>
          <w:p w14:paraId="6623C01D" w14:textId="3777D413" w:rsidR="003D485F" w:rsidRPr="004A2AE6" w:rsidRDefault="00C23A63" w:rsidP="003D485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C03</w:t>
            </w:r>
            <w:r w:rsidR="002120BE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Monographie</w:t>
            </w:r>
            <w:r w:rsid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le cas échéant</w:t>
            </w:r>
          </w:p>
          <w:p w14:paraId="32692F09" w14:textId="6402DACF" w:rsidR="00C23A63" w:rsidRPr="004A2AE6" w:rsidRDefault="00C23A63" w:rsidP="00C23A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 xml:space="preserve">C04 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Iconographie (modèle Club Interpharmaceutique ou équivalent avec les échelles) permettant de distinguer les conditionnements primaire et secondaire, l’étiquetage</w:t>
            </w:r>
          </w:p>
          <w:p w14:paraId="5C9134A1" w14:textId="309CDD4B" w:rsidR="00C23A63" w:rsidRPr="004A2AE6" w:rsidRDefault="00C23A63" w:rsidP="00C23A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 xml:space="preserve">C05 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Bon à tirer (BAT)</w:t>
            </w:r>
            <w:r w:rsidR="009E3675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du conditionnement primaire et secondaire</w:t>
            </w:r>
          </w:p>
          <w:p w14:paraId="265E61E6" w14:textId="41FE4325" w:rsidR="00D70058" w:rsidRPr="004A2AE6" w:rsidRDefault="00D70058" w:rsidP="00C23A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C0</w:t>
            </w:r>
            <w:r w:rsidR="007F301A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6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Données de stabilité hors RCP</w:t>
            </w:r>
            <w:r w:rsidR="00385853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, 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notamment </w:t>
            </w:r>
            <w:r w:rsidR="0046332E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les limites de durée et de température </w:t>
            </w:r>
            <w:r w:rsidR="001875EE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pour les 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excursion</w:t>
            </w:r>
            <w:r w:rsidR="001875EE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s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de température</w:t>
            </w:r>
          </w:p>
          <w:p w14:paraId="5B0FCA88" w14:textId="21AF56CC" w:rsidR="00736941" w:rsidRPr="004A2AE6" w:rsidRDefault="00D70058" w:rsidP="00C23A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C</w:t>
            </w:r>
            <w:r w:rsidR="00FF7586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0</w:t>
            </w:r>
            <w:r w:rsidR="007F301A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7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Fiche fabrication/approvisionnement renseignée (annexe </w:t>
            </w:r>
            <w:r w:rsidR="00927A51">
              <w:rPr>
                <w:rFonts w:eastAsia="Times New Roman" w:cstheme="minorHAnsi"/>
                <w:sz w:val="20"/>
                <w:szCs w:val="20"/>
                <w:lang w:eastAsia="fr-FR"/>
              </w:rPr>
              <w:t>4</w:t>
            </w:r>
            <w:r w:rsidR="0090526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="00927A51">
              <w:rPr>
                <w:rFonts w:eastAsia="Times New Roman" w:cstheme="minorHAnsi"/>
                <w:sz w:val="20"/>
                <w:szCs w:val="20"/>
                <w:lang w:eastAsia="fr-FR"/>
              </w:rPr>
              <w:t>du CCTP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)</w:t>
            </w:r>
          </w:p>
          <w:p w14:paraId="195D50B4" w14:textId="64D12B05" w:rsidR="00547E8F" w:rsidRPr="004A2AE6" w:rsidRDefault="00547E8F" w:rsidP="00547E8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lastRenderedPageBreak/>
              <w:t>C</w:t>
            </w:r>
            <w:r w:rsidR="006D760F" w:rsidRPr="004A2AE6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0</w:t>
            </w:r>
            <w:r w:rsidR="007F301A" w:rsidRPr="004A2AE6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8</w:t>
            </w:r>
            <w:r w:rsidR="00E6204D" w:rsidRPr="004A2AE6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="00E6204D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Liste des intervenants dans la fabrication et d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étails des personnes référentes</w:t>
            </w:r>
            <w:r w:rsidR="00E6204D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 :</w:t>
            </w:r>
          </w:p>
          <w:p w14:paraId="5CB52853" w14:textId="77777777" w:rsidR="00547E8F" w:rsidRPr="004A2AE6" w:rsidRDefault="00547E8F" w:rsidP="004A2AE6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le fabricant de la substance active, </w:t>
            </w:r>
          </w:p>
          <w:p w14:paraId="2CD8E134" w14:textId="77777777" w:rsidR="00547E8F" w:rsidRPr="004A2AE6" w:rsidRDefault="00547E8F" w:rsidP="004A2AE6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le(s) fabricant(s) aux diverses étapes de préparation, </w:t>
            </w:r>
          </w:p>
          <w:p w14:paraId="230CC723" w14:textId="77777777" w:rsidR="00547E8F" w:rsidRPr="004A2AE6" w:rsidRDefault="00547E8F" w:rsidP="004A2AE6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le(s) sites de contrôle, </w:t>
            </w:r>
          </w:p>
          <w:p w14:paraId="3965511E" w14:textId="476C50A2" w:rsidR="00285D65" w:rsidRPr="004A2AE6" w:rsidRDefault="00547E8F" w:rsidP="004A2AE6">
            <w:pPr>
              <w:pStyle w:val="Paragraphedeliste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le site responsable de la libération des lots, ainsi que la liste des personnes habilitées à libérer les lots sur le marché</w:t>
            </w:r>
            <w:r w:rsidR="00285D65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,</w:t>
            </w:r>
          </w:p>
          <w:p w14:paraId="3708BEC3" w14:textId="4275832D" w:rsidR="004E43E8" w:rsidRPr="004A2AE6" w:rsidRDefault="00B9429A" w:rsidP="004A2AE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C</w:t>
            </w:r>
            <w:r w:rsidR="00162A04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09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 Fiche de </w:t>
            </w:r>
            <w:r w:rsidR="00DB0C79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données de 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sécurité du médicament</w:t>
            </w:r>
          </w:p>
          <w:p w14:paraId="048DF2FA" w14:textId="66127F8C" w:rsidR="00541080" w:rsidRPr="004A2AE6" w:rsidRDefault="004E43E8" w:rsidP="004A2AE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C1</w:t>
            </w:r>
            <w:r w:rsidR="00162A04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0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 </w:t>
            </w:r>
            <w:r w:rsidR="009C659B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Données d’efficacité et de tolérance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1D83" w14:textId="440AF060" w:rsidR="000073E4" w:rsidRPr="004A2AE6" w:rsidRDefault="000073E4" w:rsidP="000073E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lastRenderedPageBreak/>
              <w:t> </w:t>
            </w:r>
            <w:r w:rsidR="004936F0">
              <w:rPr>
                <w:rFonts w:eastAsia="Times New Roman" w:cstheme="minorHAnsi"/>
                <w:sz w:val="20"/>
                <w:szCs w:val="20"/>
                <w:lang w:eastAsia="fr-FR"/>
              </w:rPr>
              <w:t>C07 et C08 sont demandés mais non noté</w:t>
            </w:r>
          </w:p>
        </w:tc>
      </w:tr>
      <w:tr w:rsidR="00B222EC" w:rsidRPr="00A61D81" w14:paraId="7587258D" w14:textId="77777777" w:rsidTr="003A5322">
        <w:trPr>
          <w:trHeight w:val="411"/>
        </w:trPr>
        <w:tc>
          <w:tcPr>
            <w:tcW w:w="1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noWrap/>
            <w:vAlign w:val="center"/>
          </w:tcPr>
          <w:p w14:paraId="396F150B" w14:textId="44923F2F" w:rsidR="00B222EC" w:rsidRPr="004A2AE6" w:rsidRDefault="006113F3" w:rsidP="00B222E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>D</w:t>
            </w:r>
            <w:r w:rsidR="00B222EC" w:rsidRPr="004A2AE6"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>/ GESTION DES OPERATIONS</w:t>
            </w:r>
            <w:r w:rsidR="00181CF0" w:rsidRPr="004A2AE6"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 xml:space="preserve"> </w:t>
            </w:r>
          </w:p>
        </w:tc>
      </w:tr>
      <w:tr w:rsidR="00B222EC" w:rsidRPr="00A61D81" w14:paraId="0C4AB1CC" w14:textId="77777777" w:rsidTr="004A2AE6">
        <w:trPr>
          <w:trHeight w:val="703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89B44" w14:textId="77777777" w:rsidR="00B222EC" w:rsidRPr="004A2AE6" w:rsidRDefault="00B222EC" w:rsidP="000073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4AC6D" w14:textId="0F7E5C86" w:rsidR="004D44E2" w:rsidRPr="004A2AE6" w:rsidRDefault="004D44E2" w:rsidP="00E6535F">
            <w:pPr>
              <w:spacing w:after="0" w:line="240" w:lineRule="auto"/>
              <w:jc w:val="both"/>
              <w:rPr>
                <w:rFonts w:eastAsia="Times New Roman" w:cstheme="minorHAnsi"/>
                <w:bCs/>
                <w:i/>
                <w:color w:val="5B9BD5" w:themeColor="accent1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La transmission des procédures </w:t>
            </w:r>
            <w:r w:rsidR="004D7EF8" w:rsidRPr="004A2AE6">
              <w:rPr>
                <w:rFonts w:eastAsia="Times New Roman" w:cstheme="minorHAnsi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pertinentes </w:t>
            </w:r>
            <w:r w:rsidRPr="004A2AE6">
              <w:rPr>
                <w:rFonts w:eastAsia="Times New Roman" w:cstheme="minorHAnsi"/>
                <w:bCs/>
                <w:i/>
                <w:color w:val="5B9BD5" w:themeColor="accent1"/>
                <w:sz w:val="20"/>
                <w:szCs w:val="20"/>
                <w:lang w:eastAsia="fr-FR"/>
              </w:rPr>
              <w:t>sera appréciée</w:t>
            </w:r>
          </w:p>
          <w:p w14:paraId="6BAA7663" w14:textId="39ADBDBC" w:rsidR="00736941" w:rsidRPr="004A2AE6" w:rsidRDefault="006113F3" w:rsidP="0090526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</w:t>
            </w:r>
            <w:r w:rsidR="00736941" w:rsidRPr="004A2AE6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01</w:t>
            </w:r>
            <w:r w:rsidR="00736941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Calendrier de mise à disposition des doses</w:t>
            </w:r>
            <w:r w:rsidR="00F41ABC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 : </w:t>
            </w:r>
            <w:r w:rsidR="00736941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quantité en stock et semaine de disponibilité des doses à la commande ainsi que les phases critiques le cas échéant dans l’atteinte du maximum</w:t>
            </w:r>
            <w:r w:rsidR="00F41ABC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.</w:t>
            </w:r>
          </w:p>
          <w:p w14:paraId="2102D131" w14:textId="7FBE22E2" w:rsidR="00095E3B" w:rsidRDefault="006113F3" w:rsidP="0090526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</w:t>
            </w:r>
            <w:r w:rsidR="00736941" w:rsidRPr="004A2AE6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02</w:t>
            </w:r>
            <w:r w:rsidR="00736941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Description de l’organisation des opérations logistiqu</w:t>
            </w:r>
            <w:r w:rsidR="00095E3B">
              <w:rPr>
                <w:rFonts w:eastAsia="Times New Roman" w:cstheme="minorHAnsi"/>
                <w:sz w:val="20"/>
                <w:szCs w:val="20"/>
                <w:lang w:eastAsia="fr-FR"/>
              </w:rPr>
              <w:t>es et les procédures associées </w:t>
            </w:r>
            <w:r w:rsidR="00860220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comprenant </w:t>
            </w:r>
            <w:r w:rsidR="00095E3B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: </w:t>
            </w:r>
          </w:p>
          <w:p w14:paraId="702D222F" w14:textId="25347A33" w:rsidR="00346BD5" w:rsidRPr="004A2AE6" w:rsidRDefault="00346BD5" w:rsidP="0090526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approvisionnement, </w:t>
            </w:r>
            <w:r w:rsidR="004E43E8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stockage</w:t>
            </w:r>
            <w:r w:rsidR="00095E3B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(fournir le plan de masse avec repérage des emplacements des doses stockées réservées</w:t>
            </w:r>
            <w:r w:rsidR="0086395A">
              <w:rPr>
                <w:rFonts w:eastAsia="Times New Roman" w:cstheme="minorHAnsi"/>
                <w:sz w:val="20"/>
                <w:szCs w:val="20"/>
                <w:lang w:eastAsia="fr-FR"/>
              </w:rPr>
              <w:t>)</w:t>
            </w:r>
            <w:r w:rsidR="004E43E8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, </w:t>
            </w:r>
            <w:r w:rsidR="0086395A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préparation </w:t>
            </w:r>
            <w:r w:rsidR="004E43E8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et distribution</w:t>
            </w:r>
            <w:r w:rsidR="00095E3B">
              <w:rPr>
                <w:rFonts w:eastAsia="Times New Roman" w:cstheme="minorHAnsi"/>
                <w:sz w:val="20"/>
                <w:szCs w:val="20"/>
                <w:lang w:eastAsia="fr-FR"/>
              </w:rPr>
              <w:t>, transport</w:t>
            </w:r>
            <w:r w:rsidR="004E43E8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des vaccins</w:t>
            </w:r>
            <w:r w:rsidR="00095E3B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, </w:t>
            </w:r>
            <w:r w:rsidR="004E43E8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modalités de reporting</w:t>
            </w:r>
            <w:r w:rsidR="003D6623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selon l’annexe 5 du RC</w:t>
            </w:r>
            <w:r w:rsidR="004E43E8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et les moyens de traçabilité des livraisons jusqu’au destinataire final</w:t>
            </w:r>
            <w:r w:rsidR="0086395A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, </w:t>
            </w:r>
            <w:r w:rsidR="00F41ABC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rôle de chaque site intervenant dans les opérations lié</w:t>
            </w:r>
            <w:r w:rsidR="009E3675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es</w:t>
            </w:r>
            <w:r w:rsidR="00860220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au marché,</w:t>
            </w:r>
            <w:r w:rsidR="009E3675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="00860220">
              <w:rPr>
                <w:rFonts w:eastAsia="Times New Roman" w:cstheme="minorHAnsi"/>
                <w:sz w:val="20"/>
                <w:szCs w:val="20"/>
                <w:lang w:eastAsia="fr-FR"/>
              </w:rPr>
              <w:t>s</w:t>
            </w:r>
            <w:r w:rsidR="009E3675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chéma </w:t>
            </w:r>
            <w:r w:rsidR="00C67A9D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clair et détaillé de bout en bout jusqu’à la pharmacie </w:t>
            </w:r>
            <w:r w:rsidR="009E3675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précisant les flux et opérations </w:t>
            </w:r>
            <w:r w:rsidR="00C67A9D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est demandé avec le(s) </w:t>
            </w:r>
            <w:r w:rsidR="009E3675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site</w:t>
            </w:r>
            <w:r w:rsidR="00C67A9D">
              <w:rPr>
                <w:rFonts w:eastAsia="Times New Roman" w:cstheme="minorHAnsi"/>
                <w:sz w:val="20"/>
                <w:szCs w:val="20"/>
                <w:lang w:eastAsia="fr-FR"/>
              </w:rPr>
              <w:t>(</w:t>
            </w:r>
            <w:r w:rsidR="009E3675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s</w:t>
            </w:r>
            <w:r w:rsidR="00C67A9D">
              <w:rPr>
                <w:rFonts w:eastAsia="Times New Roman" w:cstheme="minorHAnsi"/>
                <w:sz w:val="20"/>
                <w:szCs w:val="20"/>
                <w:lang w:eastAsia="fr-FR"/>
              </w:rPr>
              <w:t>) et acteurs intervenant</w:t>
            </w:r>
            <w:r w:rsidR="0086395A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dans les opérations, le </w:t>
            </w:r>
            <w:r w:rsidR="00860220">
              <w:rPr>
                <w:rFonts w:eastAsia="Times New Roman" w:cstheme="minorHAnsi"/>
                <w:sz w:val="20"/>
                <w:szCs w:val="20"/>
                <w:lang w:eastAsia="fr-FR"/>
              </w:rPr>
              <w:t>p</w:t>
            </w: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lan de continuité d’activité permettant de garantir la continuité des activités demandés en cas d’incident.</w:t>
            </w:r>
          </w:p>
          <w:p w14:paraId="5C344A4F" w14:textId="1B745AD9" w:rsidR="00541080" w:rsidRPr="00024DA9" w:rsidRDefault="006113F3" w:rsidP="003D6623">
            <w:pPr>
              <w:spacing w:after="0"/>
              <w:jc w:val="both"/>
              <w:rPr>
                <w:rFonts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</w:t>
            </w:r>
            <w:r w:rsidR="00541080" w:rsidRPr="004A2AE6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0</w:t>
            </w:r>
            <w:r w:rsidR="00B53A43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3</w:t>
            </w:r>
            <w:r w:rsidR="00541080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Description du système mis en place pour la prise de commande</w:t>
            </w:r>
            <w:r w:rsidR="003E3995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des </w:t>
            </w:r>
            <w:r w:rsidR="00541080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destinataires finaux et du suivi des commandes</w:t>
            </w:r>
            <w:r w:rsidR="00E902DB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(intégrant les réclamations</w:t>
            </w:r>
            <w:r w:rsidR="003D6623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, </w:t>
            </w:r>
            <w:r w:rsidR="00E902DB">
              <w:rPr>
                <w:rFonts w:eastAsia="Times New Roman" w:cstheme="minorHAnsi"/>
                <w:sz w:val="20"/>
                <w:szCs w:val="20"/>
                <w:lang w:eastAsia="fr-FR"/>
              </w:rPr>
              <w:t>service client)</w:t>
            </w:r>
          </w:p>
          <w:p w14:paraId="56D83928" w14:textId="6B69C67C" w:rsidR="00E97D60" w:rsidRPr="004A2AE6" w:rsidRDefault="006113F3" w:rsidP="003D662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</w:t>
            </w:r>
            <w:r w:rsidR="00B53A43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04</w:t>
            </w:r>
            <w:r w:rsidR="00FF38B7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Délais de livraison au destinataires finaux après</w:t>
            </w:r>
            <w:r w:rsidR="00F41ABC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réception des</w:t>
            </w:r>
            <w:r w:rsidR="00FF38B7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commandes </w:t>
            </w:r>
            <w:r w:rsidR="0090526F">
              <w:rPr>
                <w:rFonts w:eastAsia="Times New Roman" w:cstheme="minorHAnsi"/>
                <w:sz w:val="20"/>
                <w:szCs w:val="20"/>
                <w:lang w:eastAsia="fr-FR"/>
              </w:rPr>
              <w:t>y compris pour l’outre-mer</w:t>
            </w:r>
          </w:p>
          <w:p w14:paraId="2A12486E" w14:textId="1C2F166E" w:rsidR="0090526F" w:rsidRPr="004A2AE6" w:rsidRDefault="006113F3" w:rsidP="004A2AE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</w:t>
            </w:r>
            <w:r w:rsidR="00B01324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05</w:t>
            </w:r>
            <w:r w:rsidR="0090526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Procédure de destruction et modalités de mise en </w:t>
            </w:r>
            <w:r w:rsidR="00983FFC">
              <w:rPr>
                <w:rFonts w:eastAsia="Times New Roman" w:cstheme="minorHAnsi"/>
                <w:sz w:val="20"/>
                <w:szCs w:val="20"/>
                <w:lang w:eastAsia="fr-FR"/>
              </w:rPr>
              <w:t>œuvre et traçabilité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16C0B" w14:textId="77777777" w:rsidR="00B222EC" w:rsidRPr="004A2AE6" w:rsidRDefault="00B222EC" w:rsidP="000073E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70597F" w:rsidRPr="00A61D81" w14:paraId="27464553" w14:textId="77777777" w:rsidTr="00F87674">
        <w:trPr>
          <w:trHeight w:val="345"/>
        </w:trPr>
        <w:tc>
          <w:tcPr>
            <w:tcW w:w="1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noWrap/>
            <w:vAlign w:val="center"/>
          </w:tcPr>
          <w:p w14:paraId="617381C5" w14:textId="6048B049" w:rsidR="0070597F" w:rsidRPr="004A2AE6" w:rsidRDefault="00860220" w:rsidP="0034180B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fr-FR"/>
              </w:rPr>
              <w:t>E</w:t>
            </w:r>
            <w:r w:rsidR="0070597F" w:rsidRPr="004A2AE6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fr-FR"/>
              </w:rPr>
              <w:t>/ GESTION DE LA QUALITE</w:t>
            </w:r>
          </w:p>
        </w:tc>
      </w:tr>
      <w:tr w:rsidR="00F2322D" w:rsidRPr="00A61D81" w14:paraId="3FF1DD89" w14:textId="77777777" w:rsidTr="004A2AE6">
        <w:trPr>
          <w:trHeight w:val="600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E4410" w14:textId="77777777" w:rsidR="00F2322D" w:rsidRPr="004A2AE6" w:rsidRDefault="00F2322D" w:rsidP="00F2322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9485" w14:textId="3FAA3394" w:rsidR="00F87674" w:rsidRPr="004A2AE6" w:rsidRDefault="00860220" w:rsidP="00F8767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E</w:t>
            </w:r>
            <w:r w:rsidR="00F87674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0</w:t>
            </w:r>
            <w:r w:rsidR="00B8515A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1</w:t>
            </w:r>
            <w:r w:rsidR="00F87674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 xml:space="preserve"> </w:t>
            </w:r>
            <w:r w:rsidR="00F87674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Transmettre les procédures suivantes permettant de décrire la :</w:t>
            </w:r>
          </w:p>
          <w:p w14:paraId="4F8553C6" w14:textId="2EAEBC0B" w:rsidR="00F87674" w:rsidRPr="00E902DB" w:rsidRDefault="00F87674" w:rsidP="00E902DB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Gestion des réclamations</w:t>
            </w:r>
            <w:r w:rsidR="00E97D60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et des excursions de température</w:t>
            </w:r>
          </w:p>
          <w:p w14:paraId="773226EA" w14:textId="7B7C2713" w:rsidR="00F87674" w:rsidRPr="00983FFC" w:rsidRDefault="00F87674" w:rsidP="00F87674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983FFC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 xml:space="preserve">Gestion des rappels de lot </w:t>
            </w:r>
            <w:r w:rsidR="00983FFC" w:rsidRPr="00983FFC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dans le cas d’un retrait/rappel de lot du vaccin proposé</w:t>
            </w:r>
          </w:p>
          <w:p w14:paraId="63863F3F" w14:textId="0D29E44D" w:rsidR="00A832CF" w:rsidRPr="004A2AE6" w:rsidRDefault="00A832CF" w:rsidP="00F87674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Gestion ou qualification des destinataires</w:t>
            </w:r>
          </w:p>
          <w:p w14:paraId="5360D684" w14:textId="3E12DEDA" w:rsidR="0097106B" w:rsidRPr="004A2AE6" w:rsidRDefault="0097106B" w:rsidP="00F87674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Gestion de la pharmacovigilance</w:t>
            </w:r>
          </w:p>
          <w:p w14:paraId="4029B485" w14:textId="4CA9B334" w:rsidR="00541080" w:rsidRPr="004A2AE6" w:rsidRDefault="00541080" w:rsidP="00F87674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Gestion de l’information médicale</w:t>
            </w:r>
          </w:p>
          <w:p w14:paraId="14D2488B" w14:textId="3DE59F10" w:rsidR="002864D8" w:rsidRPr="004A2AE6" w:rsidRDefault="00860220" w:rsidP="00E902D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E</w:t>
            </w:r>
            <w:r w:rsidR="00CB3F1E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0</w:t>
            </w:r>
            <w:r w:rsidR="00B8515A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2</w:t>
            </w:r>
            <w:r w:rsidR="00CB3F1E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Quel(s) processus de communication proposez-vous de mettre en place avec Santé publique France pour gérer les activités liées à la qualité ?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AB1A" w14:textId="7C0FE14B" w:rsidR="00F2322D" w:rsidRPr="004A2AE6" w:rsidRDefault="00F2322D" w:rsidP="00F2322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fr-FR"/>
              </w:rPr>
            </w:pPr>
          </w:p>
        </w:tc>
      </w:tr>
      <w:tr w:rsidR="007F467D" w:rsidRPr="00A61D81" w14:paraId="36C49440" w14:textId="77777777" w:rsidTr="00431601">
        <w:trPr>
          <w:trHeight w:val="390"/>
        </w:trPr>
        <w:tc>
          <w:tcPr>
            <w:tcW w:w="1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  <w:hideMark/>
          </w:tcPr>
          <w:p w14:paraId="7B5CEB87" w14:textId="0B4376A8" w:rsidR="007F467D" w:rsidRPr="004A2AE6" w:rsidRDefault="00A42C33" w:rsidP="0008063F">
            <w:pPr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>F</w:t>
            </w:r>
            <w:r w:rsidR="007F467D" w:rsidRPr="004A2AE6"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 xml:space="preserve">/ </w:t>
            </w:r>
            <w:r w:rsidR="0008063F" w:rsidRPr="004A2AE6">
              <w:rPr>
                <w:rFonts w:eastAsia="Times New Roman" w:cstheme="minorHAnsi"/>
                <w:bCs/>
                <w:color w:val="FFFFFF" w:themeColor="background1"/>
                <w:sz w:val="20"/>
                <w:szCs w:val="20"/>
                <w:lang w:eastAsia="fr-FR"/>
              </w:rPr>
              <w:t>INDICATEURS ET TABLEAUX DE BORD</w:t>
            </w:r>
          </w:p>
        </w:tc>
      </w:tr>
      <w:tr w:rsidR="007F467D" w:rsidRPr="00A61D81" w14:paraId="38D5FFCB" w14:textId="77777777" w:rsidTr="004A2AE6">
        <w:trPr>
          <w:trHeight w:val="464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3EFB" w14:textId="77777777" w:rsidR="007F467D" w:rsidRPr="004A2AE6" w:rsidRDefault="007F467D" w:rsidP="004316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F3F5" w14:textId="31190084" w:rsidR="00CB3F1E" w:rsidRPr="004A2AE6" w:rsidRDefault="00A42C33" w:rsidP="00CB3F1E">
            <w:p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F</w:t>
            </w:r>
            <w:r w:rsidR="00CB3F1E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 xml:space="preserve">01 </w:t>
            </w:r>
            <w:r w:rsidR="00CB3F1E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Quels indicateurs</w:t>
            </w:r>
            <w:r w:rsidR="00CB3F1E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 xml:space="preserve"> </w:t>
            </w:r>
            <w:r w:rsidR="00CB3F1E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vos systèmes d’information sont-ils en capacité de remonter spontanément sur les sujets :</w:t>
            </w:r>
          </w:p>
          <w:p w14:paraId="7CDFD07F" w14:textId="77777777" w:rsidR="00CB3F1E" w:rsidRPr="004A2AE6" w:rsidRDefault="00CB3F1E" w:rsidP="00CB3F1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lastRenderedPageBreak/>
              <w:t>logistiques,</w:t>
            </w:r>
          </w:p>
          <w:p w14:paraId="314E97D1" w14:textId="77777777" w:rsidR="00CB3F1E" w:rsidRPr="004A2AE6" w:rsidRDefault="00CB3F1E" w:rsidP="00CB3F1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qualité,</w:t>
            </w:r>
          </w:p>
          <w:p w14:paraId="2F22F42F" w14:textId="77777777" w:rsidR="00CB3F1E" w:rsidRPr="004A2AE6" w:rsidRDefault="00CB3F1E" w:rsidP="00CB3F1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budgétaires</w:t>
            </w:r>
          </w:p>
          <w:p w14:paraId="6AFE7EF2" w14:textId="2B0CB80D" w:rsidR="00CB3F1E" w:rsidRPr="004A2AE6" w:rsidRDefault="00A42C33" w:rsidP="00CB3F1E">
            <w:p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F</w:t>
            </w:r>
            <w:r w:rsidR="00CB3F1E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 xml:space="preserve">02 </w:t>
            </w:r>
            <w:r w:rsidR="00CB3F1E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Quels indicateurs</w:t>
            </w:r>
            <w:r w:rsidR="00CB3F1E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 xml:space="preserve"> </w:t>
            </w:r>
            <w:r w:rsidR="0082135E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 xml:space="preserve">pertinents </w:t>
            </w:r>
            <w:r w:rsidR="00CB3F1E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et tableaux de bord</w:t>
            </w:r>
            <w:r w:rsidR="00CB3F1E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 xml:space="preserve"> </w:t>
            </w:r>
            <w:r w:rsidR="0082135E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 xml:space="preserve">en lien avec l’objet du marché </w:t>
            </w:r>
            <w:r w:rsidR="0067137C">
              <w:rPr>
                <w:rFonts w:eastAsia="Times New Roman" w:cstheme="minorHAnsi"/>
                <w:sz w:val="20"/>
                <w:szCs w:val="20"/>
                <w:lang w:eastAsia="fr-FR"/>
              </w:rPr>
              <w:t>proposez-vous</w:t>
            </w:r>
            <w:r w:rsidR="00CB3F1E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="000F4C34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à Santé publique France </w:t>
            </w:r>
            <w:r w:rsidR="00CB3F1E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sur les sujets :</w:t>
            </w:r>
          </w:p>
          <w:p w14:paraId="4058FBE1" w14:textId="77777777" w:rsidR="00CB3F1E" w:rsidRPr="004A2AE6" w:rsidRDefault="00CB3F1E" w:rsidP="00CB3F1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logistiques,</w:t>
            </w:r>
          </w:p>
          <w:p w14:paraId="30C3CB38" w14:textId="77777777" w:rsidR="00CB3F1E" w:rsidRPr="004A2AE6" w:rsidRDefault="00CB3F1E" w:rsidP="00CB3F1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qualité,</w:t>
            </w:r>
          </w:p>
          <w:p w14:paraId="6257ED12" w14:textId="77777777" w:rsidR="00CB3F1E" w:rsidRPr="004A2AE6" w:rsidRDefault="00CB3F1E" w:rsidP="00CB3F1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budgétaires</w:t>
            </w:r>
          </w:p>
          <w:p w14:paraId="622EC18D" w14:textId="77777777" w:rsidR="00CB3F1E" w:rsidRPr="004A2AE6" w:rsidRDefault="00CB3F1E" w:rsidP="00CB3F1E">
            <w:p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de façon :</w:t>
            </w:r>
          </w:p>
          <w:p w14:paraId="36C41B49" w14:textId="77777777" w:rsidR="00CB3F1E" w:rsidRPr="004A2AE6" w:rsidRDefault="00CB3F1E" w:rsidP="00CB3F1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hebdomadaire,</w:t>
            </w:r>
          </w:p>
          <w:p w14:paraId="1C5789ED" w14:textId="77777777" w:rsidR="00CB3F1E" w:rsidRPr="004A2AE6" w:rsidRDefault="00CB3F1E" w:rsidP="00CB3F1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mensuels,</w:t>
            </w:r>
          </w:p>
          <w:p w14:paraId="65530ABC" w14:textId="77777777" w:rsidR="00CB3F1E" w:rsidRPr="004A2AE6" w:rsidRDefault="00CB3F1E" w:rsidP="00CB3F1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trimestriels,</w:t>
            </w:r>
          </w:p>
          <w:p w14:paraId="69B4D53A" w14:textId="4D789D72" w:rsidR="000F4C34" w:rsidRPr="004A2AE6" w:rsidRDefault="00CB3F1E" w:rsidP="000F4C34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>annuels</w:t>
            </w:r>
          </w:p>
          <w:p w14:paraId="4552A873" w14:textId="3FEDA801" w:rsidR="00CB3F1E" w:rsidRPr="00E902DB" w:rsidRDefault="00CB3F1E" w:rsidP="00E902DB">
            <w:p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Fournir des exemples illustrés votre réponse</w:t>
            </w:r>
            <w:r w:rsidR="00A172CF" w:rsidRPr="004A2AE6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.</w:t>
            </w:r>
            <w:r w:rsidR="000F4C34" w:rsidRPr="004A2AE6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226A" w14:textId="77777777" w:rsidR="007F467D" w:rsidRPr="004A2AE6" w:rsidRDefault="007F467D" w:rsidP="004316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</w:tbl>
    <w:p w14:paraId="04C2ECEF" w14:textId="77777777" w:rsidR="004B683C" w:rsidRPr="00615EE4" w:rsidRDefault="004B683C">
      <w:pPr>
        <w:rPr>
          <w:sz w:val="24"/>
        </w:rPr>
      </w:pPr>
    </w:p>
    <w:sectPr w:rsidR="004B683C" w:rsidRPr="00615EE4" w:rsidSect="003246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97D2E" w14:textId="77777777" w:rsidR="00F914B9" w:rsidRDefault="00F914B9" w:rsidP="003246D6">
      <w:pPr>
        <w:spacing w:after="0" w:line="240" w:lineRule="auto"/>
      </w:pPr>
      <w:r>
        <w:separator/>
      </w:r>
    </w:p>
  </w:endnote>
  <w:endnote w:type="continuationSeparator" w:id="0">
    <w:p w14:paraId="0884F15B" w14:textId="77777777" w:rsidR="00F914B9" w:rsidRDefault="00F914B9" w:rsidP="00324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C27AA" w14:textId="77777777" w:rsidR="008A3336" w:rsidRDefault="008A333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DEF94" w14:textId="5B8BBB1F" w:rsidR="003246D6" w:rsidRDefault="003246D6" w:rsidP="003246D6">
    <w:pPr>
      <w:pStyle w:val="Pieddepage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BB33FF">
      <w:rPr>
        <w:noProof/>
      </w:rPr>
      <w:t>4</w:t>
    </w:r>
    <w:r>
      <w:fldChar w:fldCharType="end"/>
    </w:r>
    <w:r>
      <w:t xml:space="preserve"> sur </w:t>
    </w:r>
    <w:fldSimple w:instr=" SECTIONPAGES   \* MERGEFORMAT ">
      <w:r w:rsidR="001B364F">
        <w:rPr>
          <w:noProof/>
        </w:rPr>
        <w:t>4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CB42" w14:textId="77777777" w:rsidR="008A3336" w:rsidRDefault="008A33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48361" w14:textId="77777777" w:rsidR="00F914B9" w:rsidRDefault="00F914B9" w:rsidP="003246D6">
      <w:pPr>
        <w:spacing w:after="0" w:line="240" w:lineRule="auto"/>
      </w:pPr>
      <w:r>
        <w:separator/>
      </w:r>
    </w:p>
  </w:footnote>
  <w:footnote w:type="continuationSeparator" w:id="0">
    <w:p w14:paraId="7E7ECC51" w14:textId="77777777" w:rsidR="00F914B9" w:rsidRDefault="00F914B9" w:rsidP="00324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76F44" w14:textId="77777777" w:rsidR="008A3336" w:rsidRDefault="008A333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32E68" w14:textId="17262EBA" w:rsidR="003246D6" w:rsidRPr="007B538B" w:rsidRDefault="0041376B" w:rsidP="003246D6">
    <w:pPr>
      <w:pStyle w:val="En-tte"/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ANNEXE </w:t>
    </w:r>
    <w:r w:rsidR="003D6623">
      <w:rPr>
        <w:rFonts w:ascii="Arial" w:hAnsi="Arial" w:cs="Arial"/>
        <w:b/>
        <w:sz w:val="28"/>
        <w:szCs w:val="28"/>
      </w:rPr>
      <w:t>3</w:t>
    </w:r>
    <w:r w:rsidR="003246D6" w:rsidRPr="007B538B">
      <w:rPr>
        <w:rFonts w:ascii="Arial" w:hAnsi="Arial" w:cs="Arial"/>
        <w:b/>
        <w:sz w:val="28"/>
        <w:szCs w:val="28"/>
      </w:rPr>
      <w:t> </w:t>
    </w:r>
    <w:r w:rsidR="008A3336">
      <w:rPr>
        <w:rFonts w:ascii="Arial" w:hAnsi="Arial" w:cs="Arial"/>
        <w:b/>
        <w:sz w:val="28"/>
        <w:szCs w:val="28"/>
      </w:rPr>
      <w:t xml:space="preserve">du CCTP </w:t>
    </w:r>
    <w:r w:rsidR="003246D6" w:rsidRPr="007B538B">
      <w:rPr>
        <w:rFonts w:ascii="Arial" w:hAnsi="Arial" w:cs="Arial"/>
        <w:b/>
        <w:sz w:val="28"/>
        <w:szCs w:val="28"/>
      </w:rPr>
      <w:t xml:space="preserve">: CADRE </w:t>
    </w:r>
    <w:r w:rsidR="007F467D" w:rsidRPr="007B538B">
      <w:rPr>
        <w:rFonts w:ascii="Arial" w:hAnsi="Arial" w:cs="Arial"/>
        <w:b/>
        <w:sz w:val="28"/>
        <w:szCs w:val="28"/>
      </w:rPr>
      <w:t xml:space="preserve">DE PRESENTATION DU </w:t>
    </w:r>
    <w:r w:rsidR="003835E7" w:rsidRPr="007B538B">
      <w:rPr>
        <w:rFonts w:ascii="Arial" w:hAnsi="Arial" w:cs="Arial"/>
        <w:b/>
        <w:sz w:val="28"/>
        <w:szCs w:val="28"/>
      </w:rPr>
      <w:t>MEMOIRE TECHNIQUE ET ELEMENTS ATTENDUS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2D314" w14:textId="77777777" w:rsidR="008A3336" w:rsidRDefault="008A333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C3A05"/>
    <w:multiLevelType w:val="hybridMultilevel"/>
    <w:tmpl w:val="F1303E7A"/>
    <w:lvl w:ilvl="0" w:tplc="CEFE9F8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514A"/>
    <w:multiLevelType w:val="hybridMultilevel"/>
    <w:tmpl w:val="971EE1D4"/>
    <w:lvl w:ilvl="0" w:tplc="1F02E1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05EE6"/>
    <w:multiLevelType w:val="hybridMultilevel"/>
    <w:tmpl w:val="0B82C432"/>
    <w:lvl w:ilvl="0" w:tplc="9B048A3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A4157"/>
    <w:multiLevelType w:val="hybridMultilevel"/>
    <w:tmpl w:val="82101E08"/>
    <w:lvl w:ilvl="0" w:tplc="AA424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8B12E0"/>
    <w:multiLevelType w:val="hybridMultilevel"/>
    <w:tmpl w:val="20FA5B48"/>
    <w:lvl w:ilvl="0" w:tplc="ADE25E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D6"/>
    <w:rsid w:val="00003E19"/>
    <w:rsid w:val="000073E4"/>
    <w:rsid w:val="00015FEA"/>
    <w:rsid w:val="00024DA9"/>
    <w:rsid w:val="00035C22"/>
    <w:rsid w:val="00040CAE"/>
    <w:rsid w:val="0006315A"/>
    <w:rsid w:val="00076BC6"/>
    <w:rsid w:val="0008063F"/>
    <w:rsid w:val="0008283D"/>
    <w:rsid w:val="00082C36"/>
    <w:rsid w:val="00091A9D"/>
    <w:rsid w:val="00095E3B"/>
    <w:rsid w:val="000C17B4"/>
    <w:rsid w:val="000E08D2"/>
    <w:rsid w:val="000E7904"/>
    <w:rsid w:val="000F4C34"/>
    <w:rsid w:val="00104F5E"/>
    <w:rsid w:val="00162A04"/>
    <w:rsid w:val="00181CF0"/>
    <w:rsid w:val="001875EE"/>
    <w:rsid w:val="001B364F"/>
    <w:rsid w:val="001C6865"/>
    <w:rsid w:val="001C7A08"/>
    <w:rsid w:val="001D1E40"/>
    <w:rsid w:val="001D3E98"/>
    <w:rsid w:val="001E372F"/>
    <w:rsid w:val="002120BE"/>
    <w:rsid w:val="00221759"/>
    <w:rsid w:val="00230903"/>
    <w:rsid w:val="00246BB2"/>
    <w:rsid w:val="0025581E"/>
    <w:rsid w:val="00285D65"/>
    <w:rsid w:val="002864D8"/>
    <w:rsid w:val="002B2CF5"/>
    <w:rsid w:val="002B5511"/>
    <w:rsid w:val="002F403D"/>
    <w:rsid w:val="003047EA"/>
    <w:rsid w:val="00320788"/>
    <w:rsid w:val="003246D6"/>
    <w:rsid w:val="00332DA4"/>
    <w:rsid w:val="0034180B"/>
    <w:rsid w:val="00346BD5"/>
    <w:rsid w:val="003675BD"/>
    <w:rsid w:val="003835E7"/>
    <w:rsid w:val="00385853"/>
    <w:rsid w:val="00397BC1"/>
    <w:rsid w:val="003A2EE1"/>
    <w:rsid w:val="003A5322"/>
    <w:rsid w:val="003C07B2"/>
    <w:rsid w:val="003C0E9B"/>
    <w:rsid w:val="003D13A7"/>
    <w:rsid w:val="003D485F"/>
    <w:rsid w:val="003D6623"/>
    <w:rsid w:val="003E3995"/>
    <w:rsid w:val="003E7255"/>
    <w:rsid w:val="0041376B"/>
    <w:rsid w:val="004169E3"/>
    <w:rsid w:val="004333C5"/>
    <w:rsid w:val="00433B5E"/>
    <w:rsid w:val="00443BA7"/>
    <w:rsid w:val="00461573"/>
    <w:rsid w:val="0046332E"/>
    <w:rsid w:val="004936F0"/>
    <w:rsid w:val="004A2AE6"/>
    <w:rsid w:val="004A30C3"/>
    <w:rsid w:val="004A55EA"/>
    <w:rsid w:val="004B683C"/>
    <w:rsid w:val="004C48BC"/>
    <w:rsid w:val="004D44E2"/>
    <w:rsid w:val="004D7EF8"/>
    <w:rsid w:val="004E43E8"/>
    <w:rsid w:val="004E7E80"/>
    <w:rsid w:val="00507176"/>
    <w:rsid w:val="00512986"/>
    <w:rsid w:val="00530834"/>
    <w:rsid w:val="005327A0"/>
    <w:rsid w:val="00541080"/>
    <w:rsid w:val="00547E8F"/>
    <w:rsid w:val="005558BC"/>
    <w:rsid w:val="00563016"/>
    <w:rsid w:val="00576644"/>
    <w:rsid w:val="005766F6"/>
    <w:rsid w:val="0058381B"/>
    <w:rsid w:val="00592075"/>
    <w:rsid w:val="00597453"/>
    <w:rsid w:val="005C25BF"/>
    <w:rsid w:val="005C654A"/>
    <w:rsid w:val="005D5A09"/>
    <w:rsid w:val="005F0E3F"/>
    <w:rsid w:val="00604A8F"/>
    <w:rsid w:val="00610997"/>
    <w:rsid w:val="006113F3"/>
    <w:rsid w:val="00615EE4"/>
    <w:rsid w:val="00623CC2"/>
    <w:rsid w:val="0067137C"/>
    <w:rsid w:val="00675C08"/>
    <w:rsid w:val="00676554"/>
    <w:rsid w:val="00683D66"/>
    <w:rsid w:val="006931B1"/>
    <w:rsid w:val="00697BF2"/>
    <w:rsid w:val="006A4789"/>
    <w:rsid w:val="006B127C"/>
    <w:rsid w:val="006B67A0"/>
    <w:rsid w:val="006B6CAD"/>
    <w:rsid w:val="006C5D65"/>
    <w:rsid w:val="006D760F"/>
    <w:rsid w:val="0070597F"/>
    <w:rsid w:val="00705D84"/>
    <w:rsid w:val="00734769"/>
    <w:rsid w:val="00736941"/>
    <w:rsid w:val="00755AA4"/>
    <w:rsid w:val="007602AA"/>
    <w:rsid w:val="00775C71"/>
    <w:rsid w:val="007A2C62"/>
    <w:rsid w:val="007A66D0"/>
    <w:rsid w:val="007A73DB"/>
    <w:rsid w:val="007B538B"/>
    <w:rsid w:val="007C3892"/>
    <w:rsid w:val="007D21C1"/>
    <w:rsid w:val="007F301A"/>
    <w:rsid w:val="007F467D"/>
    <w:rsid w:val="0082135E"/>
    <w:rsid w:val="00825CB0"/>
    <w:rsid w:val="00847418"/>
    <w:rsid w:val="00850083"/>
    <w:rsid w:val="00860220"/>
    <w:rsid w:val="008621C7"/>
    <w:rsid w:val="0086395A"/>
    <w:rsid w:val="008A0EB1"/>
    <w:rsid w:val="008A3336"/>
    <w:rsid w:val="008A450E"/>
    <w:rsid w:val="008B3069"/>
    <w:rsid w:val="008B4BF9"/>
    <w:rsid w:val="008E099B"/>
    <w:rsid w:val="0090526F"/>
    <w:rsid w:val="0091593C"/>
    <w:rsid w:val="00922720"/>
    <w:rsid w:val="00927A51"/>
    <w:rsid w:val="00954D6E"/>
    <w:rsid w:val="0097106B"/>
    <w:rsid w:val="0097360F"/>
    <w:rsid w:val="00983FFC"/>
    <w:rsid w:val="009846A1"/>
    <w:rsid w:val="00990560"/>
    <w:rsid w:val="0099663C"/>
    <w:rsid w:val="009A0387"/>
    <w:rsid w:val="009B570D"/>
    <w:rsid w:val="009C1C2D"/>
    <w:rsid w:val="009C5C22"/>
    <w:rsid w:val="009C659B"/>
    <w:rsid w:val="009E2071"/>
    <w:rsid w:val="009E3675"/>
    <w:rsid w:val="009E5393"/>
    <w:rsid w:val="00A01960"/>
    <w:rsid w:val="00A02FF0"/>
    <w:rsid w:val="00A172CF"/>
    <w:rsid w:val="00A213FE"/>
    <w:rsid w:val="00A221ED"/>
    <w:rsid w:val="00A31F56"/>
    <w:rsid w:val="00A42C33"/>
    <w:rsid w:val="00A44DCB"/>
    <w:rsid w:val="00A520BA"/>
    <w:rsid w:val="00A61D81"/>
    <w:rsid w:val="00A6701B"/>
    <w:rsid w:val="00A70CCB"/>
    <w:rsid w:val="00A74B2B"/>
    <w:rsid w:val="00A83202"/>
    <w:rsid w:val="00A832CF"/>
    <w:rsid w:val="00A96AC0"/>
    <w:rsid w:val="00AE35B9"/>
    <w:rsid w:val="00AE675D"/>
    <w:rsid w:val="00B01324"/>
    <w:rsid w:val="00B20809"/>
    <w:rsid w:val="00B222EC"/>
    <w:rsid w:val="00B23ECC"/>
    <w:rsid w:val="00B51AAB"/>
    <w:rsid w:val="00B53A43"/>
    <w:rsid w:val="00B54A1C"/>
    <w:rsid w:val="00B81ECB"/>
    <w:rsid w:val="00B8515A"/>
    <w:rsid w:val="00B9429A"/>
    <w:rsid w:val="00B96B0F"/>
    <w:rsid w:val="00BB33FF"/>
    <w:rsid w:val="00BD278C"/>
    <w:rsid w:val="00BD3D2B"/>
    <w:rsid w:val="00BE1EF4"/>
    <w:rsid w:val="00BF1A09"/>
    <w:rsid w:val="00BF6016"/>
    <w:rsid w:val="00C15CFE"/>
    <w:rsid w:val="00C23A63"/>
    <w:rsid w:val="00C25423"/>
    <w:rsid w:val="00C40709"/>
    <w:rsid w:val="00C41F42"/>
    <w:rsid w:val="00C46A7E"/>
    <w:rsid w:val="00C561A6"/>
    <w:rsid w:val="00C67A9D"/>
    <w:rsid w:val="00C84D35"/>
    <w:rsid w:val="00C9106E"/>
    <w:rsid w:val="00CB3F1E"/>
    <w:rsid w:val="00CB5CA6"/>
    <w:rsid w:val="00CC1362"/>
    <w:rsid w:val="00CD1F4A"/>
    <w:rsid w:val="00CD69A2"/>
    <w:rsid w:val="00CD7C0C"/>
    <w:rsid w:val="00D048D8"/>
    <w:rsid w:val="00D07657"/>
    <w:rsid w:val="00D23E5E"/>
    <w:rsid w:val="00D24E65"/>
    <w:rsid w:val="00D3163D"/>
    <w:rsid w:val="00D70058"/>
    <w:rsid w:val="00D93FCC"/>
    <w:rsid w:val="00D95B08"/>
    <w:rsid w:val="00D96204"/>
    <w:rsid w:val="00D973AB"/>
    <w:rsid w:val="00DB0C79"/>
    <w:rsid w:val="00DB352A"/>
    <w:rsid w:val="00DB3B64"/>
    <w:rsid w:val="00DF2639"/>
    <w:rsid w:val="00DF3C36"/>
    <w:rsid w:val="00E020EF"/>
    <w:rsid w:val="00E22FE8"/>
    <w:rsid w:val="00E255CF"/>
    <w:rsid w:val="00E26F7F"/>
    <w:rsid w:val="00E40EE9"/>
    <w:rsid w:val="00E40F0E"/>
    <w:rsid w:val="00E6204D"/>
    <w:rsid w:val="00E6535F"/>
    <w:rsid w:val="00E82F06"/>
    <w:rsid w:val="00E902DB"/>
    <w:rsid w:val="00E97D60"/>
    <w:rsid w:val="00EE2046"/>
    <w:rsid w:val="00EF31C2"/>
    <w:rsid w:val="00EF59B8"/>
    <w:rsid w:val="00EF5EC0"/>
    <w:rsid w:val="00EF69BB"/>
    <w:rsid w:val="00EF7585"/>
    <w:rsid w:val="00F13B8C"/>
    <w:rsid w:val="00F200FF"/>
    <w:rsid w:val="00F2322D"/>
    <w:rsid w:val="00F40651"/>
    <w:rsid w:val="00F418E1"/>
    <w:rsid w:val="00F41ABC"/>
    <w:rsid w:val="00F710A1"/>
    <w:rsid w:val="00F849AC"/>
    <w:rsid w:val="00F87674"/>
    <w:rsid w:val="00F914B9"/>
    <w:rsid w:val="00F97A59"/>
    <w:rsid w:val="00FD55D1"/>
    <w:rsid w:val="00FF38B7"/>
    <w:rsid w:val="00FF44F4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88436B"/>
  <w15:chartTrackingRefBased/>
  <w15:docId w15:val="{B8520309-5643-4864-864A-FF7956BC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24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46D6"/>
  </w:style>
  <w:style w:type="paragraph" w:styleId="Pieddepage">
    <w:name w:val="footer"/>
    <w:basedOn w:val="Normal"/>
    <w:link w:val="PieddepageCar"/>
    <w:uiPriority w:val="99"/>
    <w:unhideWhenUsed/>
    <w:rsid w:val="00324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46D6"/>
  </w:style>
  <w:style w:type="paragraph" w:styleId="Paragraphedeliste">
    <w:name w:val="List Paragraph"/>
    <w:basedOn w:val="Normal"/>
    <w:uiPriority w:val="34"/>
    <w:qFormat/>
    <w:rsid w:val="0046157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2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5CB0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931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31B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31B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31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31B1"/>
    <w:rPr>
      <w:b/>
      <w:bCs/>
      <w:sz w:val="20"/>
      <w:szCs w:val="20"/>
    </w:rPr>
  </w:style>
  <w:style w:type="paragraph" w:customStyle="1" w:styleId="Default">
    <w:name w:val="Default"/>
    <w:rsid w:val="00FF44F4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9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E915B-C5E2-45E5-B5A5-E815843D1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866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LAWRUK Alexia</dc:creator>
  <cp:keywords/>
  <dc:description/>
  <cp:lastModifiedBy>Christine MOREAU</cp:lastModifiedBy>
  <cp:revision>3</cp:revision>
  <dcterms:created xsi:type="dcterms:W3CDTF">2025-07-03T11:57:00Z</dcterms:created>
  <dcterms:modified xsi:type="dcterms:W3CDTF">2025-07-04T07:26:00Z</dcterms:modified>
</cp:coreProperties>
</file>